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A70352" w:rsidRPr="00A13323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70352" w:rsidRPr="00A13323" w:rsidRDefault="00A7035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Monetarna analiza</w:t>
            </w:r>
          </w:p>
        </w:tc>
      </w:tr>
      <w:tr w:rsidR="00A70352" w:rsidRPr="00A13323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EUE207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Prof.dr.sc. Nikša Nikolić</w:t>
            </w:r>
          </w:p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 dr. sc. Mario Pečarić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0352" w:rsidRPr="00A13323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Doc. dr. sc.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0352" w:rsidRPr="00A133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0352" w:rsidRPr="00A133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0352" w:rsidRPr="00A133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70352" w:rsidRPr="00A13323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F832CD" w:rsidRDefault="00F832CD" w:rsidP="00C616C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A70352" w:rsidRPr="00A13323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0352" w:rsidRPr="00A13323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Upoznati studente sa temeljnim načelima makro analize novčane ponude i potražnje.</w:t>
            </w: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A70352" w:rsidRPr="00A13323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0352" w:rsidRPr="00A13323" w:rsidRDefault="00A7035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A70352" w:rsidRPr="00A13323" w:rsidRDefault="00A70352" w:rsidP="0000304C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Identificirati, analizirati i povezati kategorije novčane ponude i potražnje.</w:t>
            </w:r>
          </w:p>
          <w:p w:rsidR="00A70352" w:rsidRPr="00A13323" w:rsidRDefault="00A70352" w:rsidP="00C616CA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A70352" w:rsidRPr="00A13323" w:rsidRDefault="00A7035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A70352" w:rsidRPr="00A13323" w:rsidRDefault="00A70352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1EBB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Analizirati </w:t>
            </w:r>
            <w:r w:rsidR="00791EBB" w:rsidRPr="00791EBB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ponudu novca</w:t>
            </w:r>
            <w:r w:rsidRPr="00A13323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:rsidR="00A70352" w:rsidRPr="00A13323" w:rsidRDefault="00A70352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Raščlaniti instrumente monetarne politike u cilju određivanja odgovarajuće ponude novca (6.razina).</w:t>
            </w:r>
          </w:p>
          <w:p w:rsidR="00A70352" w:rsidRPr="00A13323" w:rsidRDefault="00791EBB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1EBB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Analizirati determinante potražnje za novcem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70352" w:rsidRPr="00A13323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:rsidR="00A70352" w:rsidRPr="00A13323" w:rsidRDefault="00791EBB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1EBB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Analizirati učinke monetarne politike na financijska tržišta i gospodarstvo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="00A70352" w:rsidRPr="00A13323">
              <w:rPr>
                <w:rFonts w:ascii="Arial" w:eastAsia="Times New Roman" w:hAnsi="Arial" w:cs="Arial"/>
                <w:sz w:val="20"/>
                <w:szCs w:val="20"/>
              </w:rPr>
              <w:t>6.razina).</w:t>
            </w:r>
          </w:p>
          <w:p w:rsidR="00A70352" w:rsidRPr="00791EBB" w:rsidRDefault="00A70352" w:rsidP="00791E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A70352" w:rsidRPr="00A13323" w:rsidTr="00C616CA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A70352" w:rsidRPr="00A13323" w:rsidTr="00C616CA">
              <w:tc>
                <w:tcPr>
                  <w:tcW w:w="2993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00304C" w:rsidRPr="00A13323" w:rsidTr="00C616CA">
              <w:tc>
                <w:tcPr>
                  <w:tcW w:w="2993" w:type="dxa"/>
                  <w:vAlign w:val="center"/>
                </w:tcPr>
                <w:p w:rsidR="0000304C" w:rsidRPr="00A13323" w:rsidRDefault="0000304C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Uvod u monetarnu analizu</w:t>
                  </w:r>
                </w:p>
              </w:tc>
              <w:tc>
                <w:tcPr>
                  <w:tcW w:w="709" w:type="dxa"/>
                </w:tcPr>
                <w:p w:rsidR="0000304C" w:rsidRPr="00A13323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00304C" w:rsidRPr="00A13323" w:rsidRDefault="0000304C" w:rsidP="0000304C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Elementi</w:t>
                  </w: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 xml:space="preserve"> monetarne analize</w:t>
                  </w:r>
                </w:p>
              </w:tc>
              <w:tc>
                <w:tcPr>
                  <w:tcW w:w="709" w:type="dxa"/>
                </w:tcPr>
                <w:p w:rsidR="0000304C" w:rsidRPr="00A13323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FF60A4" w:rsidRPr="00A13323" w:rsidTr="00FF60A4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F60A4" w:rsidRPr="00A13323" w:rsidRDefault="00FF60A4" w:rsidP="00D7341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Institucionalni okvir monetarnih institucija i emisija novca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F60A4" w:rsidRPr="00A13323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F60A4" w:rsidRPr="00A13323" w:rsidRDefault="00FF60A4" w:rsidP="00D7341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Analiza b</w:t>
                  </w: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ilanc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e središnje banke i poslovnih banaka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F60A4" w:rsidRPr="00A13323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FF60A4" w:rsidP="00FF60A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Ponuda novca i m</w:t>
                  </w: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onetarni agregati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A13323" w:rsidRDefault="00FF60A4" w:rsidP="00FF60A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M</w:t>
                  </w:r>
                  <w:r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onetarni agregati u praksi odabranih zemalja</w:t>
                  </w:r>
                  <w:r w:rsidR="00C2026B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 xml:space="preserve"> – primjeri i zadaci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791EBB" w:rsidRDefault="00FF60A4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791E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Mehanizam promjene monetarnih agregata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791EBB" w:rsidRDefault="00FF60A4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791EB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Mehanizam promjene monetarnih agregata RH (studija slučaja)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A13323" w:rsidRDefault="006D1896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Operacije otvorenog tržišta i obvezna rezerva u kontekstu HNB-a</w:t>
                  </w:r>
                  <w:r w:rsidR="00823F93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C2026B"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="00823F93">
                    <w:rPr>
                      <w:rFonts w:ascii="Arial" w:hAnsi="Arial" w:cs="Arial"/>
                      <w:sz w:val="18"/>
                      <w:szCs w:val="18"/>
                    </w:rPr>
                    <w:t xml:space="preserve"> primjeri</w:t>
                  </w:r>
                  <w:r w:rsidR="00C2026B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6D1896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A13323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Blagajnički zapisi i devizne intervencije HNB-a</w:t>
                  </w:r>
                  <w:r w:rsidR="00823F93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C2026B"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="00823F93">
                    <w:rPr>
                      <w:rFonts w:ascii="Arial" w:hAnsi="Arial" w:cs="Arial"/>
                      <w:sz w:val="18"/>
                      <w:szCs w:val="18"/>
                    </w:rPr>
                    <w:t xml:space="preserve"> primjeri</w:t>
                  </w:r>
                  <w:r w:rsidR="00C2026B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190E5A" w:rsidP="002130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Determinante potražnje za </w:t>
                  </w:r>
                  <w:r w:rsidR="002130D2">
                    <w:rPr>
                      <w:rFonts w:ascii="Arial" w:hAnsi="Arial" w:cs="Arial"/>
                      <w:sz w:val="18"/>
                      <w:szCs w:val="18"/>
                    </w:rPr>
                    <w:t>novcem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C2026B" w:rsidRDefault="009B442D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C2026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Vremenska vrijednost novca</w:t>
                  </w:r>
                  <w:r w:rsidR="00190E5A" w:rsidRPr="00C2026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i prinosi na tržištu; vrednovanje obveznica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190E5A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Teori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jski modeli potražnje za novcem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A13323" w:rsidRDefault="00190E5A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Kolokvij 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190E5A" w:rsidP="00823F9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Mikro i makro aspekti promatranja likvidnosti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A13323" w:rsidRDefault="00190E5A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(Ne)likvidnost</w:t>
                  </w:r>
                  <w:r w:rsidR="00C2026B">
                    <w:rPr>
                      <w:rFonts w:ascii="Arial" w:hAnsi="Arial" w:cs="Arial"/>
                      <w:sz w:val="18"/>
                      <w:szCs w:val="18"/>
                    </w:rPr>
                    <w:t xml:space="preserve"> - zadaci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190E5A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Likvidnost bankarskog </w:t>
                  </w: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sustava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A13323" w:rsidRDefault="00190E5A" w:rsidP="00190E5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 xml:space="preserve">Indikatori likvidnosti banaka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– primjeri </w:t>
                  </w: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prema metodologiji HNB-a</w:t>
                  </w:r>
                  <w:r w:rsidR="00C2026B">
                    <w:rPr>
                      <w:rFonts w:ascii="Arial" w:hAnsi="Arial" w:cs="Arial"/>
                      <w:sz w:val="18"/>
                      <w:szCs w:val="18"/>
                    </w:rPr>
                    <w:t xml:space="preserve"> - zadaci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B442D" w:rsidRPr="00A13323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B442D" w:rsidRPr="00A13323" w:rsidRDefault="009B442D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Ciljevi monetarne politike</w:t>
                  </w:r>
                  <w:r w:rsidR="006C62D2">
                    <w:rPr>
                      <w:rFonts w:ascii="Arial" w:hAnsi="Arial" w:cs="Arial"/>
                      <w:sz w:val="18"/>
                      <w:szCs w:val="18"/>
                    </w:rPr>
                    <w:t xml:space="preserve"> – teorijski pristupi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442D" w:rsidRPr="00A133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B442D" w:rsidRPr="009B442D" w:rsidRDefault="006C62D2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Transmisijs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ki mehanizam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442D" w:rsidRPr="00A133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6C62D2" w:rsidRPr="00A13323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62D2" w:rsidRDefault="006C62D2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Strategija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62D2" w:rsidRPr="00A13323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62D2" w:rsidRPr="006C62D2" w:rsidRDefault="006C62D2" w:rsidP="00250619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6C62D2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Izbor </w:t>
                  </w:r>
                  <w:r w:rsidR="00915750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monetarne </w:t>
                  </w:r>
                  <w:r w:rsidRPr="006C62D2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strategije i ograničenja monetarne politike – studija slučaja malih i otvorenih ekonomija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62D2" w:rsidRPr="00A13323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B442D" w:rsidRPr="00A13323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B442D" w:rsidRPr="00A13323" w:rsidRDefault="009B442D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Teorijski okvir učinaka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442D" w:rsidRPr="00A133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B442D" w:rsidRPr="00C2026B" w:rsidRDefault="006C62D2" w:rsidP="00250619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C2026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Transmisijski mehanizam i ponašanje cijena imovine – studija slučaja </w:t>
                  </w:r>
                  <w:r w:rsidR="00FA3D6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Republike </w:t>
                  </w:r>
                  <w:r w:rsidR="00FA3D6B" w:rsidRPr="0032581E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Hrvatsk</w:t>
                  </w:r>
                  <w:r w:rsidR="00FA3D6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442D" w:rsidRPr="00A133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867381" w:rsidRDefault="009B442D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učinaka monetarne politike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6C62D2" w:rsidRDefault="006C62D2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581E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Efikasnost mehanizma monetarnog prijenosa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– studija slučaja Republike </w:t>
                  </w:r>
                  <w:r w:rsidRPr="0032581E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Hrvatsk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A70352" w:rsidRPr="00A13323" w:rsidTr="00C616CA">
              <w:tc>
                <w:tcPr>
                  <w:tcW w:w="2993" w:type="dxa"/>
                  <w:vAlign w:val="center"/>
                </w:tcPr>
                <w:p w:rsidR="00A70352" w:rsidRPr="00A13323" w:rsidRDefault="00A7035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A70352" w:rsidRPr="00A13323" w:rsidRDefault="00867381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Kolokvij II</w:t>
                  </w:r>
                </w:p>
              </w:tc>
              <w:tc>
                <w:tcPr>
                  <w:tcW w:w="709" w:type="dxa"/>
                </w:tcPr>
                <w:p w:rsidR="00A70352" w:rsidRPr="00A133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A70352" w:rsidRPr="00A13323" w:rsidRDefault="00A7035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352" w:rsidRPr="00A13323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70352" w:rsidRPr="00A133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70352" w:rsidRPr="00A13323" w:rsidRDefault="0091575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70352" w:rsidRPr="00A133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37C0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437C0" w:rsidRPr="00A13323">
              <w:rPr>
                <w:rFonts w:ascii="Arial" w:hAnsi="Arial" w:cs="Arial"/>
                <w:sz w:val="20"/>
                <w:szCs w:val="20"/>
              </w:rPr>
            </w:r>
            <w:r w:rsidR="00C437C0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C437C0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70352" w:rsidRPr="00A13323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F832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32CD">
              <w:rPr>
                <w:rFonts w:ascii="Arial" w:hAnsi="Arial" w:cs="Arial"/>
                <w:sz w:val="20"/>
                <w:szCs w:val="20"/>
              </w:rPr>
              <w:t xml:space="preserve">Da bi ostvario pravo na potpis redovni student mora pohađati 70% ukupne nastave. </w:t>
            </w: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sudjelovanje u nastavi pretpostavlja i sudjelovanje u studijama slučajeva i interaktivnim raspravama.</w:t>
            </w:r>
          </w:p>
        </w:tc>
      </w:tr>
      <w:tr w:rsidR="00A70352" w:rsidRPr="00A13323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2026B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2026B" w:rsidRPr="00A13323" w:rsidRDefault="00C2026B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2026B" w:rsidRPr="00A13323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2026B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2026B" w:rsidRPr="00A13323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2026B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C2026B" w:rsidRPr="006E740B" w:rsidRDefault="00C2026B" w:rsidP="000F29B5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6E740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2026B" w:rsidRPr="006E740B" w:rsidRDefault="00C2026B" w:rsidP="000F29B5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6E740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1**</w:t>
            </w:r>
          </w:p>
        </w:tc>
      </w:tr>
      <w:tr w:rsidR="00A70352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70352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0352" w:rsidRPr="00A13323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  <w:r w:rsidR="00A7035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7035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70352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2026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352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70352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A70352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C2026B" w:rsidRDefault="00C2026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C4D32">
              <w:rPr>
                <w:rFonts w:ascii="Arial" w:hAnsi="Arial" w:cs="Arial"/>
                <w:color w:val="FF0000"/>
                <w:sz w:val="20"/>
                <w:szCs w:val="20"/>
              </w:rPr>
              <w:t xml:space="preserve">** Na pojedinim vježbama studenti rješavaju </w:t>
            </w:r>
            <w:r w:rsidR="00FA3D6B">
              <w:rPr>
                <w:rFonts w:ascii="Arial" w:hAnsi="Arial" w:cs="Arial"/>
                <w:color w:val="FF0000"/>
                <w:sz w:val="20"/>
                <w:szCs w:val="20"/>
              </w:rPr>
              <w:t xml:space="preserve">zadatke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ili </w:t>
            </w:r>
            <w:r w:rsidRPr="003C4D32">
              <w:rPr>
                <w:rFonts w:ascii="Arial" w:hAnsi="Arial" w:cs="Arial"/>
                <w:color w:val="FF0000"/>
                <w:sz w:val="20"/>
                <w:szCs w:val="20"/>
              </w:rPr>
              <w:t>studije slučaja vezane uz predavanja, prema gore navedenom rasporedu.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Provjera znanja putem dvaju kolokvija tijekom semestra odnosno putem pismenog ispita. Kolokviji nose 80% od ukupne ocjene, dok studije slučaja nose 20% od ukupne ocjene.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Bodovni pragovi i odgovarajuće ocjene </w:t>
            </w:r>
            <w:r w:rsidR="00324C35">
              <w:rPr>
                <w:rFonts w:ascii="Arial" w:hAnsi="Arial" w:cs="Arial"/>
                <w:color w:val="FF0000"/>
                <w:sz w:val="20"/>
                <w:szCs w:val="20"/>
              </w:rPr>
              <w:t>kolegija</w:t>
            </w: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0-50      nedovoljan (1)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51-65    dovoljan (2)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462B70" w:rsidRPr="00462B70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2B70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Ispit se smatra položenim ako je student:</w:t>
            </w:r>
          </w:p>
          <w:p w:rsidR="00462B70" w:rsidRPr="00462B70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Pr="00462B70">
              <w:rPr>
                <w:rFonts w:ascii="Arial" w:hAnsi="Arial" w:cs="Arial"/>
                <w:color w:val="FF0000"/>
                <w:sz w:val="20"/>
                <w:szCs w:val="20"/>
              </w:rPr>
              <w:t>u prosjeku ostvario prolaznu ocjenu iz pisanih provjera znanja (minimalno 50% iz svakog kolokvija ili pisanog završnog ispita),</w:t>
            </w:r>
          </w:p>
          <w:p w:rsidR="00462B70" w:rsidRPr="00462B70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- </w:t>
            </w:r>
            <w:r w:rsidRPr="00462B70">
              <w:rPr>
                <w:rFonts w:ascii="Arial" w:hAnsi="Arial" w:cs="Arial"/>
                <w:color w:val="FF0000"/>
                <w:sz w:val="20"/>
                <w:szCs w:val="20"/>
              </w:rPr>
              <w:t>aktivno sudjelovao u studijama slučaja.</w:t>
            </w:r>
          </w:p>
          <w:p w:rsidR="00462B70" w:rsidRDefault="00462B70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462B70" w:rsidRPr="00462B70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2B70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462B70" w:rsidRPr="00462B70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2B70">
              <w:rPr>
                <w:rFonts w:ascii="Arial" w:hAnsi="Arial" w:cs="Arial"/>
                <w:color w:val="FF0000"/>
                <w:sz w:val="20"/>
                <w:szCs w:val="20"/>
              </w:rPr>
              <w:t xml:space="preserve">1) ukupno ostvarenih bodova na pisanim provjerama znanja umnoženih s ponderom od 0.8 te </w:t>
            </w:r>
          </w:p>
          <w:p w:rsidR="00462B70" w:rsidRPr="00462B70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62B70">
              <w:rPr>
                <w:rFonts w:ascii="Arial" w:hAnsi="Arial" w:cs="Arial"/>
                <w:color w:val="FF0000"/>
                <w:sz w:val="20"/>
                <w:szCs w:val="20"/>
              </w:rPr>
              <w:t>2) ukupno ostvarenih bodova iz studija slučaja umnoženih s ponderom 0.2.</w:t>
            </w:r>
          </w:p>
          <w:p w:rsidR="00F832CD" w:rsidRPr="00F832CD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F832CD" w:rsidRPr="00462B70" w:rsidRDefault="00F832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32CD">
              <w:rPr>
                <w:rFonts w:ascii="Arial" w:hAnsi="Arial" w:cs="Arial"/>
                <w:color w:val="FF0000"/>
                <w:sz w:val="20"/>
                <w:szCs w:val="20"/>
              </w:rPr>
              <w:t>Ukoliko student ne zadovolji na pisanim provjerama dužan je polagati završni ispit. Završni ispit može biti organiziran na pisani i/ili usmeni način.</w:t>
            </w:r>
          </w:p>
        </w:tc>
      </w:tr>
      <w:tr w:rsidR="00A70352" w:rsidRPr="00A13323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0352" w:rsidRPr="00A133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832C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832CD" w:rsidRPr="00A133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BA49FA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316710"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>Autorizirana predavanja i nastavni materijali na Moodle stranicama kolegija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 xml:space="preserve">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316710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F832CD" w:rsidRPr="00316710" w:rsidRDefault="00F832C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32CD" w:rsidRPr="00316710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F832C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832CD" w:rsidRPr="00A133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Nikolić, N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., </w:t>
            </w:r>
            <w:r w:rsidRPr="00A13323">
              <w:rPr>
                <w:rFonts w:ascii="Arial" w:hAnsi="Arial" w:cs="Arial"/>
                <w:noProof/>
                <w:sz w:val="18"/>
                <w:szCs w:val="18"/>
              </w:rPr>
              <w:t>Pečarić, M.: Osnove monetarne ekonomije, Naklada Protuđer, Split, 2007.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2C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832CD" w:rsidRPr="00A133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F832C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2CD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832CD" w:rsidRPr="00A133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A133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8"/>
                <w:szCs w:val="18"/>
              </w:rPr>
            </w:r>
            <w:r w:rsidRPr="00A133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832CD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133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C437C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C437C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32CD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832CD" w:rsidRPr="00A133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F832CD" w:rsidRPr="00A133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32CD" w:rsidRPr="007F27FF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F832CD" w:rsidRPr="00A13323" w:rsidRDefault="00F832CD" w:rsidP="00F832CD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A13323">
              <w:rPr>
                <w:rFonts w:ascii="Arial" w:hAnsi="Arial" w:cs="Arial"/>
                <w:noProof/>
                <w:sz w:val="18"/>
                <w:szCs w:val="18"/>
                <w:lang w:val="it-IT" w:eastAsia="hr-HR"/>
              </w:rPr>
              <w:t>Lovrinovi</w:t>
            </w:r>
            <w:r w:rsidRPr="00A13323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ć, I., I</w:t>
            </w:r>
            <w:r w:rsidRPr="00A13323">
              <w:rPr>
                <w:rFonts w:ascii="Arial" w:hAnsi="Arial" w:cs="Arial"/>
                <w:noProof/>
                <w:sz w:val="18"/>
                <w:szCs w:val="18"/>
                <w:lang w:val="it-IT" w:eastAsia="hr-HR"/>
              </w:rPr>
              <w:t xml:space="preserve">vanov, M.: Monetarna politika, RRiF, </w:t>
            </w:r>
            <w:r w:rsidRPr="00A13323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>2009.</w:t>
            </w:r>
            <w:r w:rsidRPr="00A13323">
              <w:rPr>
                <w:rFonts w:ascii="Arial" w:hAnsi="Arial" w:cs="Arial"/>
                <w:noProof/>
                <w:sz w:val="18"/>
                <w:szCs w:val="18"/>
                <w:lang w:val="it-IT" w:eastAsia="hr-HR"/>
              </w:rPr>
              <w:t xml:space="preserve"> </w:t>
            </w:r>
          </w:p>
          <w:p w:rsidR="00F832CD" w:rsidRDefault="00F832CD" w:rsidP="00F832C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F832CD" w:rsidRPr="007F27FF" w:rsidRDefault="00F832CD" w:rsidP="00F832CD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:rsidR="00F832CD" w:rsidRDefault="00F832CD" w:rsidP="00F832C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F832CD" w:rsidRDefault="00F832CD" w:rsidP="00F832C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Ivanov, M. "Izbor strategije i ograničenja monetarne politike u malim i otvorenim gospodarstvima",</w:t>
            </w:r>
            <w:r w:rsidRPr="00791EBB">
              <w:rPr>
                <w:color w:val="FF0000"/>
              </w:rPr>
              <w:t xml:space="preserve"> r</w:t>
            </w:r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ad objavljen u knjizi/ zborniku radova "Razvojna strategija malog nacionalnog gospodarstva u globaliziranom svijetu" (urednici: Gordan Družić i Ivo Družić), HAZU i EFZG, 2012., str. 119-153,</w:t>
            </w:r>
          </w:p>
          <w:p w:rsidR="008A391F" w:rsidRPr="00791EBB" w:rsidRDefault="008A391F" w:rsidP="00F832C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F832CD" w:rsidRDefault="00F832CD" w:rsidP="00F832C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Doležal, V.: "Efikasnost mehanizma monetarnog prijenosa u Hrvatskoj", Privredna kretanja i ekonomska politika 128 / 2011.</w:t>
            </w:r>
          </w:p>
          <w:p w:rsidR="008A391F" w:rsidRPr="00791EBB" w:rsidRDefault="008A391F" w:rsidP="00F832C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F832CD" w:rsidRDefault="00F832CD" w:rsidP="00F832CD">
            <w:pPr>
              <w:spacing w:after="0" w:line="240" w:lineRule="auto"/>
              <w:rPr>
                <w:rStyle w:val="Hyperlink"/>
                <w:rFonts w:ascii="Arial" w:hAnsi="Arial" w:cs="Arial"/>
                <w:color w:val="FF0000"/>
                <w:sz w:val="18"/>
                <w:szCs w:val="18"/>
              </w:rPr>
            </w:pPr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Ivanov, M.,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Lovrinović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, I.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Monetary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transmission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mechanism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and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behaviour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of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asset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prices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: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The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case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>of</w:t>
            </w:r>
            <w:proofErr w:type="spellEnd"/>
            <w:r w:rsidRPr="00791EBB">
              <w:rPr>
                <w:rFonts w:ascii="Arial" w:hAnsi="Arial" w:cs="Arial"/>
                <w:color w:val="FF0000"/>
                <w:sz w:val="18"/>
                <w:szCs w:val="18"/>
              </w:rPr>
              <w:t xml:space="preserve"> Croatia, 2007. </w:t>
            </w:r>
            <w:hyperlink r:id="rId7" w:history="1">
              <w:r w:rsidRPr="00791EBB">
                <w:rPr>
                  <w:rStyle w:val="Hyperlink"/>
                  <w:rFonts w:ascii="Arial" w:hAnsi="Arial" w:cs="Arial"/>
                  <w:color w:val="FF0000"/>
                  <w:sz w:val="18"/>
                  <w:szCs w:val="18"/>
                </w:rPr>
                <w:t>http://web.efzg.hr/dok/fin/mivanov/Ivanov-Lovrinovic-IABE-687-RBR.pdf</w:t>
              </w:r>
            </w:hyperlink>
          </w:p>
          <w:p w:rsidR="00F832CD" w:rsidRDefault="00F832CD" w:rsidP="00F832CD">
            <w:pPr>
              <w:spacing w:after="0" w:line="240" w:lineRule="auto"/>
              <w:rPr>
                <w:rStyle w:val="Hyperlink"/>
                <w:rFonts w:ascii="Arial" w:hAnsi="Arial" w:cs="Arial"/>
                <w:color w:val="FF0000"/>
                <w:sz w:val="18"/>
                <w:szCs w:val="18"/>
              </w:rPr>
            </w:pPr>
          </w:p>
          <w:p w:rsidR="00F832CD" w:rsidRPr="007F27FF" w:rsidRDefault="00F832CD" w:rsidP="00F832CD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F832CD" w:rsidRPr="00A13323" w:rsidRDefault="00F832CD" w:rsidP="00F832C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sz w:val="18"/>
                <w:szCs w:val="18"/>
              </w:rPr>
              <w:t>HNB, Bilteni HNB-a</w:t>
            </w:r>
          </w:p>
          <w:p w:rsidR="00F832CD" w:rsidRDefault="00F832CD" w:rsidP="00F832C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sz w:val="18"/>
                <w:szCs w:val="18"/>
              </w:rPr>
              <w:t>HNB, Godišnja izvješća</w:t>
            </w:r>
          </w:p>
          <w:p w:rsidR="00B039CB" w:rsidRPr="00A13323" w:rsidRDefault="00C437C0" w:rsidP="00F832C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B039CB" w:rsidRPr="00521DAC">
                <w:rPr>
                  <w:rStyle w:val="Hyperlink"/>
                  <w:rFonts w:ascii="Arial" w:hAnsi="Arial" w:cs="Arial"/>
                  <w:sz w:val="20"/>
                  <w:szCs w:val="20"/>
                </w:rPr>
                <w:t>www.hnb.hr</w:t>
              </w:r>
            </w:hyperlink>
          </w:p>
        </w:tc>
      </w:tr>
      <w:tr w:rsidR="00F832CD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832CD" w:rsidRPr="00A133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F832CD" w:rsidRPr="00A133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F832CD" w:rsidRPr="00A133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F832CD" w:rsidRPr="00A133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832CD" w:rsidRPr="00A133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832CD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832CD" w:rsidRPr="00A133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Ostalo (prema mišljenju </w:t>
            </w: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32CD" w:rsidRPr="00A133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Default="001424F1"/>
    <w:p w:rsidR="008A391F" w:rsidRDefault="008A391F"/>
    <w:sectPr w:rsidR="008A391F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62D" w:rsidRDefault="006A262D" w:rsidP="00A70352">
      <w:pPr>
        <w:spacing w:after="0" w:line="240" w:lineRule="auto"/>
      </w:pPr>
      <w:r>
        <w:separator/>
      </w:r>
    </w:p>
  </w:endnote>
  <w:endnote w:type="continuationSeparator" w:id="0">
    <w:p w:rsidR="006A262D" w:rsidRDefault="006A262D" w:rsidP="00A7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62D" w:rsidRDefault="006A262D" w:rsidP="00A70352">
      <w:pPr>
        <w:spacing w:after="0" w:line="240" w:lineRule="auto"/>
      </w:pPr>
      <w:r>
        <w:separator/>
      </w:r>
    </w:p>
  </w:footnote>
  <w:footnote w:type="continuationSeparator" w:id="0">
    <w:p w:rsidR="006A262D" w:rsidRDefault="006A262D" w:rsidP="00A7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02022"/>
    <w:multiLevelType w:val="hybridMultilevel"/>
    <w:tmpl w:val="D49AC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352"/>
    <w:rsid w:val="0000304C"/>
    <w:rsid w:val="00043ABA"/>
    <w:rsid w:val="001424F1"/>
    <w:rsid w:val="00190E5A"/>
    <w:rsid w:val="002047AD"/>
    <w:rsid w:val="002130D2"/>
    <w:rsid w:val="00324C35"/>
    <w:rsid w:val="0032581E"/>
    <w:rsid w:val="0037085B"/>
    <w:rsid w:val="003D5AEA"/>
    <w:rsid w:val="004035E2"/>
    <w:rsid w:val="00411CB6"/>
    <w:rsid w:val="00462B70"/>
    <w:rsid w:val="00520D4A"/>
    <w:rsid w:val="005E239F"/>
    <w:rsid w:val="005F3A09"/>
    <w:rsid w:val="0066125F"/>
    <w:rsid w:val="00680805"/>
    <w:rsid w:val="006A262D"/>
    <w:rsid w:val="006C1915"/>
    <w:rsid w:val="006C62D2"/>
    <w:rsid w:val="006D1896"/>
    <w:rsid w:val="00791EBB"/>
    <w:rsid w:val="00823F93"/>
    <w:rsid w:val="0086701A"/>
    <w:rsid w:val="00867381"/>
    <w:rsid w:val="008A391F"/>
    <w:rsid w:val="009121DC"/>
    <w:rsid w:val="00915750"/>
    <w:rsid w:val="009B442D"/>
    <w:rsid w:val="00A70352"/>
    <w:rsid w:val="00B039CB"/>
    <w:rsid w:val="00C2026B"/>
    <w:rsid w:val="00C437C0"/>
    <w:rsid w:val="00CC772B"/>
    <w:rsid w:val="00D24E58"/>
    <w:rsid w:val="00E91734"/>
    <w:rsid w:val="00F339C9"/>
    <w:rsid w:val="00F832CD"/>
    <w:rsid w:val="00FA3D6B"/>
    <w:rsid w:val="00FF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3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352"/>
    <w:pPr>
      <w:ind w:left="720"/>
      <w:contextualSpacing/>
    </w:pPr>
  </w:style>
  <w:style w:type="paragraph" w:customStyle="1" w:styleId="FieldText">
    <w:name w:val="Field Text"/>
    <w:basedOn w:val="Normal"/>
    <w:rsid w:val="00A7035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A7035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035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035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2581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8A391F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3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352"/>
    <w:pPr>
      <w:ind w:left="720"/>
      <w:contextualSpacing/>
    </w:pPr>
  </w:style>
  <w:style w:type="paragraph" w:customStyle="1" w:styleId="FieldText">
    <w:name w:val="Field Text"/>
    <w:basedOn w:val="Normal"/>
    <w:rsid w:val="00A7035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A7035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035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035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2581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8A391F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eb.efzg.hr/dok/fin/mivanov/Ivanov-Lovrinovic-IABE-687-RB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2017-07-07T12:42:00Z</cp:lastPrinted>
  <dcterms:created xsi:type="dcterms:W3CDTF">2018-06-07T09:27:00Z</dcterms:created>
  <dcterms:modified xsi:type="dcterms:W3CDTF">2018-06-07T09:54:00Z</dcterms:modified>
</cp:coreProperties>
</file>